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7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9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6285" w:leader="none"/>
          <w:tab w:val="right" w:pos="10205" w:leader="none"/>
        </w:tabs>
        <w:rPr/>
      </w:pPr>
      <w:r>
        <w:rPr/>
        <w:tab/>
      </w:r>
    </w:p>
    <w:p>
      <w:pPr>
        <w:pStyle w:val="Normal"/>
        <w:ind w:left="4253" w:hanging="0"/>
        <w:jc w:val="center"/>
        <w:rPr>
          <w:color w:val="00000A"/>
          <w:sz w:val="28"/>
          <w:szCs w:val="28"/>
        </w:rPr>
      </w:pPr>
      <w:r>
        <w:rPr>
          <w:b/>
          <w:sz w:val="40"/>
          <w:szCs w:val="40"/>
        </w:rPr>
      </w:r>
    </w:p>
    <w:p>
      <w:pPr>
        <w:pStyle w:val="Normal"/>
        <w:ind w:left="4253" w:hanging="0"/>
        <w:jc w:val="center"/>
        <w:rPr>
          <w:color w:val="00000A"/>
          <w:sz w:val="28"/>
          <w:szCs w:val="28"/>
        </w:rPr>
      </w:pPr>
      <w:r>
        <w:rPr>
          <w:b/>
          <w:sz w:val="40"/>
          <w:szCs w:val="40"/>
        </w:rPr>
      </w:r>
    </w:p>
    <w:p>
      <w:pPr>
        <w:pStyle w:val="Normal"/>
        <w:ind w:left="4253" w:hanging="0"/>
        <w:jc w:val="center"/>
        <w:rPr>
          <w:color w:val="00000A"/>
          <w:sz w:val="28"/>
          <w:szCs w:val="28"/>
        </w:rPr>
      </w:pPr>
      <w:r>
        <w:rPr>
          <w:b/>
          <w:sz w:val="40"/>
          <w:szCs w:val="40"/>
        </w:rPr>
      </w:r>
    </w:p>
    <w:p>
      <w:pPr>
        <w:pStyle w:val="Normal"/>
        <w:ind w:left="4253" w:hanging="0"/>
        <w:jc w:val="center"/>
        <w:rPr>
          <w:color w:val="00000A"/>
          <w:sz w:val="28"/>
          <w:szCs w:val="28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ТЕХНИЧЕСКИЕ ТРЕБОВАНИЯ</w:t>
      </w:r>
    </w:p>
    <w:p>
      <w:pPr>
        <w:pStyle w:val="Normal"/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bookmarkStart w:id="0" w:name="_Hlk1151004271"/>
      <w:bookmarkStart w:id="1" w:name="_Hlk1151004271"/>
      <w:bookmarkEnd w:id="1"/>
    </w:p>
    <w:p>
      <w:pPr>
        <w:pStyle w:val="Normal"/>
        <w:jc w:val="center"/>
        <w:rPr/>
      </w:pPr>
      <w:bookmarkStart w:id="2" w:name="_Hlk1151004271_Копия_1"/>
      <w:bookmarkEnd w:id="2"/>
      <w:r>
        <w:rPr>
          <w:sz w:val="28"/>
          <w:szCs w:val="28"/>
        </w:rPr>
        <w:t>ОКПД2 27.12.32.000 Поставка запасных частей и приборов для эксплуатации оборудования релейной защиты, автоматики и метрологии для нужд филиала ПАО "РусГидро"-"Камская ГЭС"</w:t>
      </w:r>
    </w:p>
    <w:p>
      <w:pPr>
        <w:pStyle w:val="Normal"/>
        <w:keepNext w:val="true"/>
        <w:keepLines/>
        <w:spacing w:lineRule="auto" w:line="276" w:before="480" w:after="0"/>
        <w:jc w:val="center"/>
        <w:rPr>
          <w:sz w:val="32"/>
          <w:szCs w:val="32"/>
        </w:rPr>
      </w:pPr>
      <w:bookmarkStart w:id="3" w:name="_Toc1523893831"/>
      <w:bookmarkEnd w:id="3"/>
      <w:r>
        <w:rPr>
          <w:sz w:val="32"/>
          <w:szCs w:val="32"/>
        </w:rPr>
        <w:t>Лот № 20-ЭКСП-БПД-2026-КамГЭС</w:t>
      </w:r>
    </w:p>
    <w:p>
      <w:pPr>
        <w:pStyle w:val="Normal"/>
        <w:spacing w:lineRule="auto" w:line="276" w:before="480" w:after="0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auto" w:line="276" w:before="480" w:after="0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auto" w:line="276" w:before="480" w:after="0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auto" w:line="276" w:before="480" w:after="0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spacing w:lineRule="auto" w:line="276" w:before="480" w:after="0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  <w:r>
        <w:br w:type="page"/>
      </w:r>
    </w:p>
    <w:p>
      <w:pPr>
        <w:pStyle w:val="Normal"/>
        <w:spacing w:lineRule="auto" w:line="276" w:before="480" w:after="0"/>
        <w:jc w:val="center"/>
        <w:rPr>
          <w:rFonts w:ascii="Cambria" w:hAnsi="Cambria"/>
          <w:b/>
          <w:bCs/>
          <w:sz w:val="28"/>
          <w:szCs w:val="28"/>
        </w:rPr>
      </w:pPr>
      <w:bookmarkStart w:id="4" w:name="_Toc15238938312"/>
      <w:bookmarkStart w:id="5" w:name="_Toc15238938311"/>
      <w:bookmarkStart w:id="6" w:name="_Toc15238938313"/>
      <w:bookmarkEnd w:id="4"/>
      <w:bookmarkEnd w:id="5"/>
      <w:bookmarkEnd w:id="6"/>
      <w:r>
        <w:rPr>
          <w:rFonts w:ascii="Cambria" w:hAnsi="Cambria"/>
          <w:b/>
          <w:bCs/>
          <w:sz w:val="28"/>
          <w:szCs w:val="28"/>
        </w:rPr>
        <w:t>Оглавление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right" w:pos="10348" w:leader="dot"/>
        </w:tabs>
        <w:ind w:right="-454" w:hanging="0"/>
        <w:rPr>
          <w:bCs/>
          <w:sz w:val="24"/>
          <w:szCs w:val="24"/>
          <w:highlight w:val="yellow"/>
        </w:rPr>
      </w:pPr>
      <w:r>
        <w:rPr>
          <w:bCs/>
          <w:sz w:val="24"/>
          <w:szCs w:val="24"/>
        </w:rPr>
        <w:t>Общие сведения……………………………………………………………………………………………..3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bCs/>
          <w:sz w:val="24"/>
          <w:szCs w:val="24"/>
        </w:rPr>
        <w:t>1.1 Обозначения и сокращения……………………………………………………………………………..3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bCs/>
          <w:sz w:val="24"/>
          <w:szCs w:val="24"/>
        </w:rPr>
        <w:t>1.2 Наименование закупаемой продукции</w:t>
        <w:tab/>
        <w:t>4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bCs/>
          <w:sz w:val="24"/>
          <w:szCs w:val="24"/>
        </w:rPr>
        <w:t>1.3 Цель использования закупаемой продукции</w:t>
        <w:tab/>
        <w:t>4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sz w:val="24"/>
          <w:szCs w:val="24"/>
        </w:rPr>
        <w:t>2. Требование к продукции</w:t>
        <w:tab/>
        <w:t>…4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sz w:val="24"/>
          <w:szCs w:val="24"/>
        </w:rPr>
        <w:t>2.1 Требования к объемам и срокам поставки</w:t>
        <w:tab/>
        <w:t>…4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sz w:val="24"/>
          <w:szCs w:val="24"/>
        </w:rPr>
        <w:t>2.1.1 Перечень и объем закупаемой продукции</w:t>
        <w:tab/>
        <w:t>4</w:t>
      </w:r>
    </w:p>
    <w:p>
      <w:pPr>
        <w:pStyle w:val="Normal"/>
        <w:tabs>
          <w:tab w:val="clear" w:pos="708"/>
          <w:tab w:val="right" w:pos="10348" w:leader="dot"/>
        </w:tabs>
        <w:rPr/>
      </w:pPr>
      <w:r>
        <w:rPr>
          <w:bCs/>
          <w:sz w:val="24"/>
          <w:szCs w:val="24"/>
        </w:rPr>
        <w:t>2.1.2 Требования к срокам поставки продукции</w:t>
        <w:tab/>
        <w:t>6</w:t>
      </w:r>
    </w:p>
    <w:p>
      <w:pPr>
        <w:pStyle w:val="Normal"/>
        <w:tabs>
          <w:tab w:val="clear" w:pos="708"/>
          <w:tab w:val="right" w:pos="10348" w:leader="dot"/>
        </w:tabs>
        <w:ind w:right="-454" w:hanging="0"/>
        <w:rPr/>
      </w:pPr>
      <w:r>
        <w:rPr>
          <w:bCs/>
          <w:sz w:val="24"/>
          <w:szCs w:val="24"/>
        </w:rPr>
        <w:t>2.2 Требования к качеству продукции</w:t>
        <w:tab/>
        <w:t>7</w:t>
      </w:r>
    </w:p>
    <w:p>
      <w:pPr>
        <w:sectPr>
          <w:footerReference w:type="default" r:id="rId2"/>
          <w:type w:val="nextPage"/>
          <w:pgSz w:w="11906" w:h="16838"/>
          <w:pgMar w:left="1134" w:right="282" w:gutter="0" w:header="0" w:top="1236" w:footer="720" w:bottom="1234"/>
          <w:pgNumType w:fmt="decimal"/>
          <w:formProt w:val="false"/>
          <w:textDirection w:val="lrTb"/>
          <w:docGrid w:type="default" w:linePitch="272" w:charSpace="40960"/>
        </w:sectPr>
        <w:pStyle w:val="Normal"/>
        <w:tabs>
          <w:tab w:val="clear" w:pos="708"/>
          <w:tab w:val="right" w:pos="10348" w:leader="dot"/>
        </w:tabs>
        <w:ind w:right="-454" w:hanging="0"/>
        <w:rPr/>
      </w:pPr>
      <w:r>
        <w:rPr>
          <w:bCs/>
          <w:sz w:val="24"/>
          <w:szCs w:val="24"/>
        </w:rPr>
        <w:t>3. Требования к документации по ценообразованию на этапе закупки……………………………………………………………………………………………………...104</w:t>
      </w:r>
    </w:p>
    <w:p>
      <w:pPr>
        <w:pStyle w:val="Normal"/>
        <w:spacing w:before="0" w:after="240"/>
        <w:jc w:val="center"/>
        <w:rPr>
          <w:sz w:val="28"/>
          <w:szCs w:val="28"/>
        </w:rPr>
      </w:pPr>
      <w:r>
        <w:rPr>
          <w:b/>
          <w:sz w:val="24"/>
          <w:szCs w:val="24"/>
        </w:rPr>
        <w:t xml:space="preserve">1. </w:t>
      </w:r>
      <w:r>
        <w:rPr>
          <w:b/>
          <w:sz w:val="28"/>
          <w:szCs w:val="28"/>
        </w:rPr>
        <w:t>Общие сведения</w:t>
      </w:r>
      <w:r>
        <w:rPr>
          <w:b/>
          <w:sz w:val="24"/>
          <w:szCs w:val="24"/>
        </w:rPr>
        <w:t>.</w:t>
      </w:r>
    </w:p>
    <w:p>
      <w:pPr>
        <w:pStyle w:val="Normal"/>
        <w:spacing w:before="0" w:after="240"/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1.1 </w:t>
      </w:r>
      <w:bookmarkStart w:id="7" w:name="_Toc75446567"/>
      <w:bookmarkStart w:id="8" w:name="_Toc46743505"/>
      <w:r>
        <w:rPr>
          <w:b/>
          <w:bCs/>
          <w:sz w:val="24"/>
          <w:szCs w:val="24"/>
        </w:rPr>
        <w:t>Обозначения и сокращения</w:t>
      </w:r>
      <w:bookmarkEnd w:id="7"/>
      <w:bookmarkEnd w:id="8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8"/>
                <w:szCs w:val="28"/>
              </w:rPr>
            </w:pPr>
            <w:r>
              <w:rPr>
                <w:rStyle w:val="Style13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rStyle w:val="Style13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Материально-технические ресурсы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rStyle w:val="Style13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СРЗАиМ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rStyle w:val="Style13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Служба релейной защиты, автоматики и метрологии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ПА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Противоаварийная автоматика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ТО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Техническое обслуживание</w:t>
            </w:r>
          </w:p>
        </w:tc>
      </w:tr>
    </w:tbl>
    <w:p>
      <w:pPr>
        <w:sectPr>
          <w:headerReference w:type="default" r:id="rId3"/>
          <w:footerReference w:type="default" r:id="rId4"/>
          <w:footerReference w:type="first" r:id="rId5"/>
          <w:type w:val="nextPage"/>
          <w:pgSz w:w="11906" w:h="16838"/>
          <w:pgMar w:left="1134" w:right="849" w:gutter="0" w:header="720" w:top="1236" w:footer="720" w:bottom="1234"/>
          <w:pgNumType w:fmt="decimal"/>
          <w:formProt w:val="false"/>
          <w:textDirection w:val="lrTb"/>
          <w:docGrid w:type="default" w:linePitch="272" w:charSpace="40960"/>
        </w:sectPr>
      </w:pPr>
    </w:p>
    <w:p>
      <w:pPr>
        <w:pStyle w:val="Normal"/>
        <w:spacing w:before="0" w:after="240"/>
        <w:rPr/>
      </w:pPr>
      <w:r>
        <w:rPr>
          <w:b/>
          <w:bCs/>
          <w:sz w:val="24"/>
          <w:szCs w:val="24"/>
        </w:rPr>
        <w:t>1.2 Наименование закупаемой продукции</w:t>
      </w:r>
      <w:r>
        <w:rPr>
          <w:bCs/>
          <w:sz w:val="24"/>
          <w:szCs w:val="24"/>
        </w:rPr>
        <w:t xml:space="preserve"> </w:t>
      </w:r>
    </w:p>
    <w:p>
      <w:pPr>
        <w:pStyle w:val="Normal"/>
        <w:ind w:firstLine="567"/>
        <w:jc w:val="both"/>
        <w:rPr/>
      </w:pPr>
      <w:r>
        <w:rPr>
          <w:sz w:val="24"/>
          <w:szCs w:val="24"/>
        </w:rPr>
        <w:t>Материально-технические ресурсы (далее – МТР) для эксплуатации Службы релейной защиты, автоматики и метрологии (далее – СРЗАиМ).</w:t>
      </w:r>
    </w:p>
    <w:p>
      <w:pPr>
        <w:pStyle w:val="Normal"/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</w:p>
    <w:p>
      <w:pPr>
        <w:pStyle w:val="Normal"/>
        <w:spacing w:before="0" w:after="240"/>
        <w:jc w:val="both"/>
        <w:rPr/>
      </w:pPr>
      <w:r>
        <w:rPr>
          <w:b/>
          <w:bCs/>
          <w:sz w:val="24"/>
          <w:szCs w:val="24"/>
        </w:rPr>
        <w:t>1.3 Цель использования закупаемой продукции</w:t>
      </w:r>
    </w:p>
    <w:p>
      <w:pPr>
        <w:pStyle w:val="Normal"/>
        <w:spacing w:before="0" w:after="120"/>
        <w:ind w:firstLine="567"/>
        <w:jc w:val="both"/>
        <w:rPr/>
      </w:pPr>
      <w:r>
        <w:rPr>
          <w:bCs/>
          <w:sz w:val="24"/>
          <w:szCs w:val="24"/>
        </w:rPr>
        <w:t xml:space="preserve">Целью закупки МТР является </w:t>
      </w:r>
      <w:r>
        <w:rPr>
          <w:rFonts w:eastAsia="Calibri"/>
          <w:sz w:val="24"/>
          <w:szCs w:val="24"/>
        </w:rPr>
        <w:t xml:space="preserve">снижение времени простоя основного оборудования при отказах и дефектах РЗА, ПА, технологической автоматики в процессе эксплуатации или при выявлении дефекта при проведении ТО. </w:t>
      </w:r>
    </w:p>
    <w:p>
      <w:pPr>
        <w:pStyle w:val="Normal"/>
        <w:tabs>
          <w:tab w:val="clear" w:pos="708"/>
          <w:tab w:val="left" w:pos="0" w:leader="none"/>
        </w:tabs>
        <w:spacing w:before="0" w:after="120"/>
        <w:ind w:firstLine="567"/>
        <w:jc w:val="both"/>
        <w:rPr/>
      </w:pPr>
      <w:r>
        <w:rPr>
          <w:rFonts w:eastAsia="Calibri"/>
          <w:bCs/>
          <w:sz w:val="24"/>
          <w:szCs w:val="24"/>
          <w:lang w:eastAsia="en-US"/>
        </w:rPr>
        <w:t>Задача - приобретение МТР для производственных нужд СРЗАиМ.</w:t>
      </w:r>
    </w:p>
    <w:p>
      <w:pPr>
        <w:pStyle w:val="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120"/>
        <w:jc w:val="center"/>
        <w:rPr>
          <w:b/>
          <w:b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  <w:t xml:space="preserve">2. </w:t>
      </w:r>
      <w:bookmarkStart w:id="9" w:name="_Toc75446573"/>
      <w:bookmarkStart w:id="10" w:name="_Toc51339693"/>
      <w:r>
        <w:rPr>
          <w:rFonts w:eastAsia="Calibri"/>
          <w:b/>
          <w:iCs/>
          <w:sz w:val="24"/>
          <w:szCs w:val="24"/>
        </w:rPr>
        <w:t>Требования к продукции</w:t>
      </w:r>
      <w:bookmarkEnd w:id="9"/>
      <w:bookmarkEnd w:id="10"/>
    </w:p>
    <w:p>
      <w:pPr>
        <w:pStyle w:val="Normal"/>
        <w:spacing w:before="0"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 </w:t>
      </w:r>
      <w:bookmarkStart w:id="11" w:name="_Toc75446574"/>
      <w:r>
        <w:rPr>
          <w:b/>
          <w:bCs/>
          <w:sz w:val="24"/>
          <w:szCs w:val="24"/>
        </w:rPr>
        <w:t>Требования к объемам и срокам поставки</w:t>
      </w:r>
      <w:bookmarkEnd w:id="11"/>
    </w:p>
    <w:p>
      <w:pPr>
        <w:pStyle w:val="Normal"/>
        <w:spacing w:before="0"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2.1.1 </w:t>
      </w:r>
      <w:bookmarkStart w:id="12" w:name="_Toc75446575"/>
      <w:r>
        <w:rPr>
          <w:b/>
          <w:bCs/>
          <w:sz w:val="24"/>
          <w:szCs w:val="24"/>
        </w:rPr>
        <w:t>Перечень и объем закупаемой продукции</w:t>
      </w:r>
      <w:bookmarkEnd w:id="12"/>
    </w:p>
    <w:p>
      <w:pPr>
        <w:pStyle w:val="Heading1"/>
        <w:keepLines/>
        <w:spacing w:before="240" w:after="60"/>
        <w:rPr>
          <w:bCs/>
          <w:sz w:val="24"/>
          <w:szCs w:val="24"/>
        </w:rPr>
      </w:pPr>
      <w:bookmarkStart w:id="13" w:name="_Toc75446576"/>
      <w:bookmarkStart w:id="14" w:name="_Toc51339695"/>
      <w:r>
        <w:rPr>
          <w:sz w:val="24"/>
          <w:szCs w:val="24"/>
        </w:rPr>
        <w:t xml:space="preserve">Таблица 1.1 Перечень </w:t>
      </w:r>
      <w:bookmarkEnd w:id="14"/>
      <w:r>
        <w:rPr>
          <w:sz w:val="24"/>
          <w:szCs w:val="24"/>
        </w:rPr>
        <w:t>и объем закупаемой продукции</w:t>
      </w:r>
      <w:bookmarkEnd w:id="13"/>
    </w:p>
    <w:tbl>
      <w:tblPr>
        <w:tblW w:w="9857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51"/>
        <w:gridCol w:w="5686"/>
        <w:gridCol w:w="2379"/>
        <w:gridCol w:w="1240"/>
      </w:tblGrid>
      <w:tr>
        <w:trPr/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 КИПвЭВнг(А)-LS 2х2х0,78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коммутационное УК-ВК исп.14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8</w:t>
            </w:r>
          </w:p>
        </w:tc>
      </w:tr>
      <w:tr>
        <w:trPr/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Извещатель пожарный ручной ИПР-Кск (ИОПР513/101-1) "При пожаре"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Аккумуляторная батарея Delta DTM 1212 (12V / 12Ah)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12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Аккумуляторная батарея  Delta DTM 12045 (12V / 4,5Ah)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Резистор постоянный металлопленочный 1,5 кОм, 0,25 Вт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60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Аккумуляторная батарея Delta DTM 12022  (12V / 2,2Ah)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Преобразователь давления измерительный АИР-10Н-ДГ-1540/Зонд27/P20/12V/t2570/А01/0…15000 мм вод.ст./IP68/ГП/ТУ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Манометр технический показывающий стандартного исполнения с корпусом диаметром 160 мм из нержавеющей стали МП4-УУХЛ1 - 4 МПа (огр.черта 2 МПа) - 1,5 - Св.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Ключ управления 4G25-202-U-S1 apator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Блок питания SDR-120-24 в ЗПУ однофазный 24 В с блок-контактом.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Блок питания TDR-240-24 в ЗПУ трёхфазный 24 В с блок-контактом.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Блок питания TRACO POWER TMP 30512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Блок питания КАМ1524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Мастика герметизирующая кабельная МГКП (уп. 15 кг)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Блок испытательный базовый с рабочей крышкой БИЭЛ-9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Блок испытательный базовый с рабочей крышкой БИЭЛ-5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Крышка контрольная БИЭЛ КК-9, тестовые гнезда для контрольной крышки, 4мм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Крышка контрольная БИЭЛ КК-5, тестовые гнезда для контрольной крышки, 4мм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Перемычка штекерная Elkey ББ 2-8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Перемычка штекерная Elkey ББ 4-8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Перемычка штекерная Elkey ББ 5-8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блок индикации Э2601 с ПО v.6, ЭКРА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</w:rPr>
              <w:t>блок логики : Л2516, ЭКРА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</w:rPr>
              <w:t>Плата управления блока Д253 ЭКРА .301411.213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Радиоповторитель интерфейсов С2000-РПИ ИСП.02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Модуль порошкового пожаротушения с комбинированным запуском БУРАН-2,5(2С)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Контрольно-пусковой блок С2000-КПБ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Оповещатель пожарный световой с встроенным звуковым оповещателем  Молния-24-З "Порошок уходи"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Сирена уличная Марс 24-КУ (Оповещатель охранно-пожарный комбинированный Марс24-КУ)</w:t>
            </w:r>
          </w:p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0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Реле времени (таймер) 240В AC/DC 2CO 12А 0.05с…10дн.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4</w:t>
            </w:r>
          </w:p>
        </w:tc>
      </w:tr>
    </w:tbl>
    <w:p>
      <w:pPr>
        <w:pStyle w:val="Normal"/>
        <w:spacing w:before="0" w:after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br w:type="page"/>
      </w:r>
    </w:p>
    <w:p>
      <w:pPr>
        <w:pStyle w:val="Normal"/>
        <w:spacing w:before="0" w:after="240"/>
        <w:jc w:val="both"/>
        <w:rPr/>
      </w:pPr>
      <w:r>
        <w:rPr>
          <w:b/>
          <w:sz w:val="24"/>
          <w:szCs w:val="24"/>
        </w:rPr>
        <w:t xml:space="preserve">2.1.2 </w:t>
      </w:r>
      <w:bookmarkStart w:id="15" w:name="_Toc75446578"/>
      <w:bookmarkStart w:id="16" w:name="_Toc51339696"/>
      <w:r>
        <w:rPr>
          <w:b/>
          <w:sz w:val="24"/>
          <w:szCs w:val="24"/>
        </w:rPr>
        <w:t xml:space="preserve">Требования </w:t>
      </w:r>
      <w:bookmarkEnd w:id="16"/>
      <w:r>
        <w:rPr>
          <w:b/>
          <w:sz w:val="24"/>
          <w:szCs w:val="24"/>
        </w:rPr>
        <w:t>к срокам поставки продукции</w:t>
      </w:r>
      <w:bookmarkEnd w:id="15"/>
      <w:r>
        <w:rPr>
          <w:b/>
          <w:sz w:val="24"/>
          <w:szCs w:val="24"/>
        </w:rPr>
        <w:t>.</w:t>
      </w:r>
    </w:p>
    <w:p>
      <w:pPr>
        <w:pStyle w:val="Normal"/>
        <w:spacing w:before="0" w:after="240"/>
        <w:jc w:val="both"/>
        <w:rPr/>
      </w:pPr>
      <w:r>
        <w:rPr>
          <w:sz w:val="24"/>
          <w:szCs w:val="24"/>
        </w:rPr>
        <w:t xml:space="preserve"> </w:t>
      </w:r>
      <w:bookmarkStart w:id="17" w:name="_Toc75446579"/>
      <w:bookmarkStart w:id="18" w:name="_Toc51339697"/>
      <w:bookmarkStart w:id="19" w:name="_Toc50125127"/>
      <w:r>
        <w:rPr>
          <w:sz w:val="24"/>
          <w:szCs w:val="24"/>
        </w:rPr>
        <w:t>Та</w:t>
      </w:r>
      <w:r>
        <w:rPr>
          <w:b/>
          <w:bCs/>
          <w:sz w:val="24"/>
          <w:szCs w:val="24"/>
        </w:rPr>
        <w:t xml:space="preserve">блица 2.1 </w:t>
      </w:r>
      <w:bookmarkStart w:id="20" w:name="_Hlk50465284"/>
      <w:r>
        <w:rPr>
          <w:b/>
          <w:bCs/>
          <w:sz w:val="24"/>
          <w:szCs w:val="24"/>
        </w:rPr>
        <w:t xml:space="preserve">Требования по срокам </w:t>
      </w:r>
      <w:bookmarkEnd w:id="18"/>
      <w:bookmarkEnd w:id="19"/>
      <w:bookmarkEnd w:id="20"/>
      <w:r>
        <w:rPr>
          <w:b/>
          <w:bCs/>
          <w:sz w:val="24"/>
          <w:szCs w:val="24"/>
        </w:rPr>
        <w:t>поставки продукции</w:t>
      </w:r>
      <w:bookmarkEnd w:id="17"/>
      <w:r>
        <w:rPr>
          <w:b/>
          <w:bCs/>
          <w:sz w:val="24"/>
          <w:szCs w:val="24"/>
        </w:rPr>
        <w:t xml:space="preserve"> </w:t>
      </w:r>
    </w:p>
    <w:tbl>
      <w:tblPr>
        <w:tblW w:w="9776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904"/>
        <w:gridCol w:w="3346"/>
        <w:gridCol w:w="2732"/>
        <w:gridCol w:w="2793"/>
      </w:tblGrid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right="113" w:hanging="0"/>
              <w:jc w:val="center"/>
              <w:rPr/>
            </w:pPr>
            <w:r>
              <w:rPr/>
              <w:t>1-37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yle13"/>
                <w:b w:val="false"/>
                <w:bCs/>
                <w:i w:val="false"/>
                <w:color w:val="000000"/>
                <w:sz w:val="24"/>
                <w:szCs w:val="24"/>
                <w:shd w:fill="auto" w:val="clear"/>
              </w:rPr>
              <w:t>Поставка запасных частей и оборудования для эксплуатации СРЗАиМ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До 30.11.2026 г.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footerReference w:type="default" r:id="rId8"/>
          <w:footerReference w:type="first" r:id="rId9"/>
          <w:type w:val="nextPage"/>
          <w:pgSz w:w="11906" w:h="16838"/>
          <w:pgMar w:left="1417" w:right="567" w:gutter="0" w:header="0" w:top="550" w:footer="850" w:bottom="1366"/>
          <w:pgNumType w:fmt="decimal"/>
          <w:formProt w:val="false"/>
          <w:textDirection w:val="lrTb"/>
          <w:docGrid w:type="default" w:linePitch="272" w:charSpace="40960"/>
        </w:sectPr>
      </w:pPr>
    </w:p>
    <w:p>
      <w:pPr>
        <w:pStyle w:val="Heading4"/>
        <w:spacing w:before="0" w:after="240"/>
        <w:ind w:left="1132" w:hanging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2.2 </w:t>
      </w:r>
      <w:bookmarkStart w:id="21" w:name="_Toc754465812"/>
      <w:bookmarkStart w:id="22" w:name="_Toc46743511"/>
      <w:r>
        <w:rPr>
          <w:rFonts w:ascii="Times New Roman" w:hAnsi="Times New Roman"/>
          <w:sz w:val="24"/>
          <w:szCs w:val="24"/>
        </w:rPr>
        <w:t xml:space="preserve">Требования к </w:t>
      </w:r>
      <w:bookmarkEnd w:id="22"/>
      <w:r>
        <w:rPr>
          <w:rFonts w:ascii="Times New Roman" w:hAnsi="Times New Roman"/>
          <w:sz w:val="24"/>
          <w:szCs w:val="24"/>
        </w:rPr>
        <w:t>качеству продукции</w:t>
      </w:r>
      <w:bookmarkEnd w:id="21"/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 Требования к продукции</w:t>
      </w:r>
    </w:p>
    <w:p>
      <w:pPr>
        <w:pStyle w:val="Normal"/>
        <w:rPr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 Таблицы 1.1):</w:t>
      </w:r>
      <w:r>
        <w:rPr>
          <w:color w:val="000000" w:themeColor="text1"/>
          <w:sz w:val="24"/>
          <w:szCs w:val="24"/>
        </w:rPr>
        <w:t xml:space="preserve">  К</w:t>
      </w:r>
      <w:r>
        <w:rPr>
          <w:sz w:val="24"/>
        </w:rPr>
        <w:t xml:space="preserve">абель КИПвЭВнг(А)-LS 2х2х0,78 </w:t>
      </w:r>
      <w:r>
        <w:rPr>
          <w:bCs/>
          <w:color w:val="000000"/>
          <w:sz w:val="24"/>
          <w:szCs w:val="24"/>
        </w:rPr>
        <w:t>или эквивалент</w:t>
      </w:r>
      <w:r>
        <w:rPr>
          <w:bCs/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163"/>
        <w:gridCol w:w="3428"/>
        <w:gridCol w:w="2714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6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1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1.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кабеля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КИПвЭВнг(А)-LS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медных жил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медных жил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 мм2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</w:t>
            </w: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3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Описание кабеля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Симметричный интерфейсный кабель, предназначенный для систем распределённого сбора данных с промышленным интерфейсом RS-485</w:t>
            </w:r>
          </w:p>
        </w:tc>
        <w:tc>
          <w:tcPr>
            <w:tcW w:w="3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sz w:val="22"/>
                <w:szCs w:val="22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Транспортировка и упаковка оборудования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Транспортировка должна осуществляется любым крытым видом транспорта.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Совместно с кабелем должна идти следующая информация: марка, завод-изготовитель, длина.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Не менее 10 лет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8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 Требования к продукции</w:t>
      </w:r>
    </w:p>
    <w:p>
      <w:pPr>
        <w:pStyle w:val="Normal"/>
        <w:rPr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№2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Устройство коммутационное УК-ВК исполнение 14. </w:t>
      </w:r>
      <w:r>
        <w:rPr>
          <w:bCs/>
          <w:color w:val="000000" w:themeColor="text1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 w:themeColor="text1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заказчиком.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1.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Релейный усилитель на два сигнала для целей пожарной сигнализации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Входное напряжение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B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ток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мА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sz w:val="22"/>
                <w:szCs w:val="22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напряжение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В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sz w:val="22"/>
                <w:szCs w:val="22"/>
              </w:rPr>
              <w:t>1.6.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Крепление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Возможность крепления на DIN рейку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Рабочие условия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Температура окружающей среды: -30…+50 °С;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Не менее 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Срок гарантии на все поставленные запасные части и комплектующие должен составлять не менее 18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коммутационное УК-ВК исполнение 14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3.3 Требования к продукции</w:t>
      </w:r>
    </w:p>
    <w:p>
      <w:pPr>
        <w:pStyle w:val="Normal"/>
        <w:rPr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3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И</w:t>
      </w:r>
      <w:r>
        <w:rPr>
          <w:color w:val="000000" w:themeColor="text1"/>
          <w:sz w:val="24"/>
          <w:szCs w:val="24"/>
        </w:rPr>
        <w:t>звещатель пожарный ручной ИПР-Кск (ИОПР513/101-1) "При пожаре"</w:t>
      </w:r>
      <w:r>
        <w:rPr>
          <w:color w:val="000000"/>
          <w:sz w:val="24"/>
          <w:szCs w:val="24"/>
        </w:rPr>
        <w:t xml:space="preserve">. </w:t>
      </w:r>
      <w:r>
        <w:rPr>
          <w:bCs/>
          <w:color w:val="000000" w:themeColor="text1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 w:themeColor="text1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заказчиком.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>звещатель пожарный ручной "При пожаре".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9-30 B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Световая индикация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Присутствует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подключаемых приборов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исполнительных выходов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лет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корпуса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Пластик, IP41, для настенного монтажа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окружающей среды: -15…+50 °С;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>звещатель пожарный ручной ИПР-Кск (ИОПР513/101-1) "При пожаре"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3.4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4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Аккумуляторная батарея Delta DTM 1212 (12V / 12Ah)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AGM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12B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Ёмкость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Ач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Клеммы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F2(FASTON (зажим) 6.35 мм)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Д*Ш*В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более)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(ДхШхВ): 98 х 151 х 101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корпуса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 ABS, не поддерживающий горение. Необслуживаемые. Не требует долива воды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окружающей среды: 0…+40 °С;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3.5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5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Аккумуляторная батарея Delta DTM 12045 (12V / 4,5Ah)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AGM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12B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Ёмкость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 Ач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Клеммы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F1(FASTON (зажим) 4.75 мм)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Д*Ш*В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более)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(ДхШхВ): 70 х 90 х 101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корпуса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 ABS, не поддерживающий горение. Необслуживаемые. Не требует долива воды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окружающей среды: 0…+40 °С;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3.6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6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Резистор постоянный металлопленочный 1,5 кОм, 0,25 Вт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181"/>
        <w:gridCol w:w="3398"/>
        <w:gridCol w:w="2726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6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Резистор постоянный металлопленочный типа C2-C3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Постоянное сопротивление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 кОм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 выдерживаемая мощность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Вт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рабочее напряжение</w:t>
            </w:r>
          </w:p>
        </w:tc>
        <w:tc>
          <w:tcPr>
            <w:tcW w:w="5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В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</w:t>
            </w:r>
          </w:p>
        </w:tc>
        <w:tc>
          <w:tcPr>
            <w:tcW w:w="5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отверстие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</w:t>
            </w:r>
          </w:p>
        </w:tc>
        <w:tc>
          <w:tcPr>
            <w:tcW w:w="5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корпуса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Цветная кодировка номинала, луженые выводы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окружающей среды: -55…+155 °С;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3.7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7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Аккумуляторная батарея Delta DTM 12022 (12V / 2,2Ah)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AGM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12B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Ёмкость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 Ач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Клеммы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F1(FASTON (зажим) 4.75 мм)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1.6.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Д*Ш*В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более)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(ДхШхВ): 178 х 35х 97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корпуса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 ABS, не поддерживающий горение. Необслуживаемые. Не требует долива воды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окружающей среды: 0…+40 °С;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3.8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8 Таблицы 1.1):</w:t>
      </w:r>
      <w:r>
        <w:rPr>
          <w:color w:val="000000" w:themeColor="text1"/>
          <w:sz w:val="24"/>
          <w:szCs w:val="24"/>
        </w:rPr>
        <w:t xml:space="preserve"> Преобразователь давления измерительный АИР-10Н-ДГ-1540/Зонд27/P20/12V/t2570/А01/0…15000 мм вод.ст./IP68/ГП/ТУ 4212-029-13282997-09 </w:t>
      </w:r>
      <w:r>
        <w:rPr>
          <w:b/>
          <w:bCs/>
          <w:i/>
          <w:iCs/>
          <w:color w:val="000000" w:themeColor="text1"/>
          <w:sz w:val="24"/>
          <w:szCs w:val="24"/>
        </w:rPr>
        <w:t>или эквивалент</w:t>
      </w:r>
      <w:r>
        <w:rPr>
          <w:b/>
          <w:bCs/>
          <w:i/>
          <w:iCs/>
          <w:sz w:val="24"/>
          <w:szCs w:val="24"/>
        </w:rPr>
        <w:t>¹</w:t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tbl>
      <w:tblPr>
        <w:tblW w:w="15876" w:type="dxa"/>
        <w:jc w:val="left"/>
        <w:tblInd w:w="152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876"/>
        <w:gridCol w:w="8"/>
        <w:gridCol w:w="3439"/>
        <w:gridCol w:w="6007"/>
        <w:gridCol w:w="3756"/>
        <w:gridCol w:w="1790"/>
      </w:tblGrid>
      <w:tr>
        <w:trPr/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6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Требование заказчика</w:t>
            </w:r>
          </w:p>
        </w:tc>
        <w:tc>
          <w:tcPr>
            <w:tcW w:w="5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8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43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00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44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параметры эквивалентности</w:t>
            </w:r>
          </w:p>
          <w:p>
            <w:pPr>
              <w:pStyle w:val="Normal"/>
              <w:widowControl w:val="false"/>
              <w:ind w:left="33" w:hanging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4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Вид измеряемого давления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гидростатическое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Диапазон измерений (установленный)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0...15000 мм вод. ст.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4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Диаметр погружного зонда, не более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 мм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1.4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Исполнение по материалам, не хуже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мембрана – нержавеющая сталь </w:t>
            </w:r>
            <w:r>
              <w:rPr>
                <w:sz w:val="24"/>
                <w:szCs w:val="24"/>
              </w:rPr>
              <w:t>03Х17Н14М3 (316L)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корпус - нержавеющая сталь</w:t>
            </w:r>
          </w:p>
          <w:p>
            <w:pPr>
              <w:pStyle w:val="Default"/>
              <w:widowControl w:val="false"/>
              <w:rPr/>
            </w:pPr>
            <w:r>
              <w:rPr/>
              <w:t>12Х18Н10Т</w:t>
            </w:r>
            <w:r>
              <w:rPr>
                <w:color w:val="000000" w:themeColor="text1"/>
              </w:rPr>
              <w:t>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оболочка кабеля – фторопласт;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уплотнительные кольца – витон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Климатическое исполнение, не хуже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 -25°С до +70°С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Предел допускаемой основной приведенной погрешности, не хуже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Выходной сигнал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4…20 мА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Длина «мокрого» кабеля, не менее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м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1.9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Степень защиты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IP68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Межповерочный интервал, не менее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 года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5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Место поставки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5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ind w:left="33" w:hanging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Срок гарантии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4.</w:t>
            </w:r>
          </w:p>
        </w:tc>
        <w:tc>
          <w:tcPr>
            <w:tcW w:w="945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4.1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Документы, передаваемые вместе с оборудованием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Предоставить в объеме поставки документацию на русском языке:</w:t>
            </w:r>
          </w:p>
          <w:p>
            <w:pPr>
              <w:pStyle w:val="ListParagraph"/>
              <w:widowControl w:val="false"/>
              <w:ind w:left="57" w:hanging="0"/>
              <w:jc w:val="both"/>
              <w:rPr/>
            </w:pPr>
            <w:r>
              <w:rPr>
                <w:color w:val="000000" w:themeColor="text1"/>
              </w:rPr>
              <w:t>1. Паспорт и(или) формуляр СИ (оригинал или электронная версия если это допускается производителем), или другой идентифицирующий СИ документ, содержащий в том числе информацию о производителе, заводской номер, дату выпуска;</w:t>
            </w:r>
          </w:p>
          <w:p>
            <w:pPr>
              <w:pStyle w:val="Normal"/>
              <w:widowControl w:val="false"/>
              <w:spacing w:before="0" w:after="0"/>
              <w:ind w:left="57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2.Руководство по эксплуатации (бумажная или электронная версия);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60" w:leader="none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3.Действующее свидетельство (копия) об утверждении типа СИ с приложенным описанием типа (бумажная или электронная версия);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4.Действующее свидетельство о первичной поверке СИ (оригинал) или другое легитимное подтверждение прохождения СИ процедуры первичной поверки со сроком действия не менее 2/3 межповерочного интервала, на момент поставки (на каждую единицу);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 Методика поверки (бумажная или электронная версия)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/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5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Дополнительные требования к продукции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Применение эквивалентов закупаемой продукции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37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Согласие с требованием</w:t>
            </w:r>
          </w:p>
        </w:tc>
        <w:tc>
          <w:tcPr>
            <w:tcW w:w="1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3.9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9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Манометр технический показывающий стандартного исполнения с корпусом диаметром 160 мм из нержавеющей стали МП4-УУХЛ1 - 4 МПа (огр.черта 2 МПа) - 1,5 - Св.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Манометр технический показывающий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точности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давлений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 до 4 МПа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корпуса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корпуса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IP40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окружающей среды: -50…+60 °С;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Манометр технический показывающий стандартного исполнения с корпусом диаметром 160 мм из нержавеющей стали МП4-УУХЛ1 - 4 МПа (огр.черта 2 МПа) - 1,5 - Св.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3.10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10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Ключ управления 4G25-202-U-S1 apator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кулачковый для щитов и шкафов управления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срок, лет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полюсов, шт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длительной нагрузки,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номинальное рабочее напряжение В переменного тока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положений переключателя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нулевого положения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крепления (монтажа)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возвратной пружиной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подключения кабелей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Винтовое соединеие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Встроенное устройство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условия эксплуатации, климатическое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 управления 4G25-202-U-S1 apator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3.11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11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Блок питания SDR-120-24 однофазный 24 В с блок-контактом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однофазный импульсный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напряжение, В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ток, 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Вт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механической подстройки выходного напряжения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Подключение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Однофазное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переменого входного напряжения не менее,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88...264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входного постоянного напряжения не менее,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124...370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Встроенные защиты: от короткого замыкания, перегрузки, перенапряжения, перегрева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Корпус для установку на рейку DIN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-25...+70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 SDR-120-24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3.12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12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Блок питания TDR-240-24 трехфазный 24 В с блок-контактом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трехфазный импульсный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напряжение, В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ток, 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Вт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механической подстройки выходного напряжения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Подключение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Трехфазное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переменого входного напряжения не менее,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340...550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входного постоянного напряжения не менее,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47...480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Встроенные защиты: от короткого замыкания, перегрузки, перенапряжения, перегрева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Корпус для установку на рейку DIN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-30...+70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 TDR-240-24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3.13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13 Таблицы 1.1):</w:t>
      </w:r>
      <w:r>
        <w:rPr>
          <w:color w:val="000000"/>
          <w:sz w:val="24"/>
          <w:szCs w:val="24"/>
        </w:rPr>
        <w:t xml:space="preserve">  Блок питания TRACO POWER TMP 30512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TMP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постоянное напряжения на первом выходе, В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постоянный ток на первом выходе, мА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постоянное напряжения на втором выходе,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постоянный ток на втором выходе,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постоянное напряжения на третьем выходе,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постоянный ток на третьем выходе,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Пиковая выходная мощность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Вт, 550 — 330 мА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Подключение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Однофазное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Встроенные защиты: от короткого замыкания, перегрузки, перенапряжения, перегрева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PCB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-25...+70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 TRACO POWER TMP 30512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3.14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14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Блок питания KAM1524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KAM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Выходная мощность, Вт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постоянное напряжение, В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входного переменного напряжения,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85 - 265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выходного постоянного напряжения,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120 - 370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выходная, Вт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Встроенные защиты: от короткого замыкания, перегрузки, перенапряжения, перегрева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PCB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-25...+50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 КАМ1524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3.15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15 Таблицы 1.1):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Мастика герметизирующая МГКП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герметизирующая для кабельных проходок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Однокомпонентная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сохранением пластичности в течении срока эксплуатации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сохранением дымо- и газонепроницаемости в течении срока эксплуатации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Герметизация горизонтальных и вертикальных проходок трубчатого и коробчатого сечения максимального размера не менее 100мм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вдоль одной из осей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Температурный диапазон эксплуатации без потери герметизирующих свойств,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-50...+70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20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Мастика герметизирующая МГКП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3.16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16 Таблицы 1.1):</w:t>
      </w:r>
      <w:r>
        <w:rPr>
          <w:color w:val="000000" w:themeColor="text1"/>
          <w:sz w:val="24"/>
          <w:szCs w:val="24"/>
        </w:rPr>
        <w:t xml:space="preserve">  Б</w:t>
      </w:r>
      <w:r>
        <w:rPr>
          <w:color w:val="000000"/>
          <w:sz w:val="24"/>
          <w:szCs w:val="24"/>
        </w:rPr>
        <w:t>лок испытательный базовый с рабочей крышкой БИЭЛ-9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испытательный базовый модульный для возможности замыкания вторичной обмотки ТТ с защитой от прикосновения к токоведущим частям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установки перемычек с передней стороны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контактов, шт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Макимальное напряжение,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разъемов,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 выдерживаемый ток,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подключаемых проводов,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 — 10 или 0,75 — 6 для многожильных проводов с наконечником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 в стенке шкафа или монтажной панели ШхВ, мм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х 116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испытательный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возможности замыкания вторичной обмотки ТТ на 9 контактов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лок испытательный базовый с рабочей крышкой БИЭЛ-9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3.17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17 Таблицы 1.1):</w:t>
      </w:r>
      <w:r>
        <w:rPr>
          <w:color w:val="000000" w:themeColor="text1"/>
          <w:sz w:val="24"/>
          <w:szCs w:val="24"/>
        </w:rPr>
        <w:t xml:space="preserve">  Б</w:t>
      </w:r>
      <w:r>
        <w:rPr>
          <w:color w:val="000000"/>
          <w:sz w:val="24"/>
          <w:szCs w:val="24"/>
        </w:rPr>
        <w:t>лок испытательный базовый с рабочей крышкой БИЭЛ-5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испытательный базовый модульный для возможности замыкания вторичной обмотки ТТ с защитой от прикосновения к токоведущим частям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установки перемычек с передней стороны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контактов, шт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Макимальное напряжение,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разъемов,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 выдерживаемый ток,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подключаемых проводов, мм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 — 10 или 0,75 — 6 для многожильных проводов с наконечником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 в стенке шкафа или монтажной панели ШхВ, мм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х 83,8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испытательный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возможности замыкания вторичной обмотки ТТ на 9 контактов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лок испытательный базовый с рабочей крышкой БИЭЛ-5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3.18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18 Таблицы 1.1):</w:t>
      </w:r>
      <w:r>
        <w:rPr>
          <w:color w:val="000000" w:themeColor="text1"/>
          <w:sz w:val="24"/>
          <w:szCs w:val="24"/>
        </w:rPr>
        <w:t xml:space="preserve">  Крышка контрольная </w:t>
      </w:r>
      <w:r>
        <w:rPr>
          <w:color w:val="000000"/>
          <w:sz w:val="24"/>
          <w:szCs w:val="24"/>
        </w:rPr>
        <w:t>БИЭЛ КК-9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Крышка контрольная с установленными тестовыми гнёздами для блока испытательного базового модульного БИЭЛ-9 или эквивалента, выбранного в таблице 3.21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Крышка контрольная с установленными тестовыми гнёздами для блока испытательного базового модульного БИЭЛ-9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3.19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19 Таблицы 1.1):</w:t>
      </w:r>
      <w:r>
        <w:rPr>
          <w:color w:val="000000" w:themeColor="text1"/>
          <w:sz w:val="24"/>
          <w:szCs w:val="24"/>
        </w:rPr>
        <w:t xml:space="preserve">  Крышка контрольная </w:t>
      </w:r>
      <w:r>
        <w:rPr>
          <w:color w:val="000000"/>
          <w:sz w:val="24"/>
          <w:szCs w:val="24"/>
        </w:rPr>
        <w:t>БИЭЛ КК-5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Крышка контрольная с установленными тестовыми гнёздами для блока испытательного базового модульного БИЭЛ-5 или эквивалента, выбранного в таблице 3.21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Крышка контрольная с установленными тестовыми гнёздами для блока испытательного базового модульного БИЭЛ-5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3.20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20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Перемычка штекерная Elkey ББ 2-8 для блока испытательного БИЭЛ-9 (БИЭЛ-5)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Перемычка штекерная для блока испытательного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контактов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 шагом между контактами 8,2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Штекерная перемычка для блока базового БИЭЛ-9 (БИЭЛ-5)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3.21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21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Перемычка штекерная Elkey ББ 4-8 для блока испытательного БИЭЛ-9 (БИЭЛ-5)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Перемычка штекерная для блока испытательного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контактов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 шагом между контактами 8,2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Штекерная перемычка для блока базового БИЭЛ-9 (БИЭЛ-5)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3.22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22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Перемычка штекерная Elkey ББ 5-8 для блока испытательного БИЭЛ-9 (БИЭЛ-5)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69"/>
        <w:gridCol w:w="1729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Перемычка штекерная для блока испытательного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контактов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с шагом между контактами 8,2 мм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стойкости к горению по ГОСТ 28157-89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ПВ-0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25 лет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Штекерная перемычка для блока базового БИЭЛ-9 (БИЭЛ-5)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 3.23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23 Таблицы 1.1):</w:t>
      </w:r>
      <w:r>
        <w:rPr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  <w:u w:val="single"/>
        </w:rPr>
        <w:t>Э2601 Блок индикации ЭКРА.656116.515 (для терминалов с ПО v6)</w:t>
      </w:r>
    </w:p>
    <w:p>
      <w:pPr>
        <w:pStyle w:val="Normal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 w:themeColor="text1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заказчиком.</w:t>
      </w:r>
    </w:p>
    <w:tbl>
      <w:tblPr>
        <w:tblW w:w="15877" w:type="dxa"/>
        <w:jc w:val="left"/>
        <w:tblInd w:w="-34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938"/>
        <w:gridCol w:w="2345"/>
        <w:gridCol w:w="7227"/>
        <w:gridCol w:w="3752"/>
        <w:gridCol w:w="1615"/>
      </w:tblGrid>
      <w:tr>
        <w:trPr/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7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Требование заказчика</w:t>
            </w:r>
          </w:p>
        </w:tc>
        <w:tc>
          <w:tcPr>
            <w:tcW w:w="5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3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3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722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1.</w:t>
            </w:r>
          </w:p>
        </w:tc>
        <w:tc>
          <w:tcPr>
            <w:tcW w:w="9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1.1</w:t>
            </w: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fill="FFFFFF" w:val="clear"/>
              </w:rPr>
              <w:t>Диагональ блока</w:t>
            </w:r>
          </w:p>
        </w:tc>
        <w:tc>
          <w:tcPr>
            <w:tcW w:w="7227" w:type="dxa"/>
            <w:tcBorders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 дюймов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</w:t>
            </w:r>
          </w:p>
        </w:tc>
        <w:tc>
          <w:tcPr>
            <w:tcW w:w="9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2.1</w:t>
            </w: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Место поставки</w:t>
            </w:r>
          </w:p>
        </w:tc>
        <w:tc>
          <w:tcPr>
            <w:tcW w:w="72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/>
                <w:iCs/>
                <w:color w:val="000000" w:themeColor="text1"/>
                <w:sz w:val="24"/>
                <w:szCs w:val="24"/>
                <w:lang w:eastAsia="en-US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2.2</w:t>
            </w: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72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2.3</w:t>
            </w: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72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2.4</w:t>
            </w: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72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 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лет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Э2601 Блок индикации ЭКРА.656116.515 (для терминалов с ПО v6)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3.24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24 Таблицы 1.1):</w:t>
      </w:r>
      <w:r>
        <w:rPr>
          <w:color w:val="000000" w:themeColor="text1"/>
          <w:sz w:val="24"/>
          <w:szCs w:val="24"/>
        </w:rPr>
        <w:t xml:space="preserve"> </w:t>
      </w:r>
      <w:r>
        <w:rPr>
          <w:bCs/>
          <w:color w:val="000000" w:themeColor="text1"/>
          <w:sz w:val="24"/>
          <w:szCs w:val="24"/>
          <w:u w:val="single"/>
        </w:rPr>
        <w:t>Плата логики Л2516 ЭКРА</w:t>
      </w:r>
    </w:p>
    <w:p>
      <w:pPr>
        <w:pStyle w:val="Normal"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 w:themeColor="text1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заказчиком.</w:t>
      </w:r>
    </w:p>
    <w:tbl>
      <w:tblPr>
        <w:tblW w:w="15877" w:type="dxa"/>
        <w:jc w:val="left"/>
        <w:tblInd w:w="-34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938"/>
        <w:gridCol w:w="25"/>
        <w:gridCol w:w="2320"/>
        <w:gridCol w:w="57"/>
        <w:gridCol w:w="7170"/>
        <w:gridCol w:w="3725"/>
        <w:gridCol w:w="1642"/>
      </w:tblGrid>
      <w:tr>
        <w:trPr/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7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Требование заказчика</w:t>
            </w:r>
          </w:p>
        </w:tc>
        <w:tc>
          <w:tcPr>
            <w:tcW w:w="5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6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71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6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7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1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6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1.</w:t>
            </w:r>
          </w:p>
        </w:tc>
        <w:tc>
          <w:tcPr>
            <w:tcW w:w="954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6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1.1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Совместимость с интерфейсными блоками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Д2691А; Д2691А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</w:t>
            </w:r>
          </w:p>
        </w:tc>
        <w:tc>
          <w:tcPr>
            <w:tcW w:w="957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2.1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Место поставки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  <w:lang w:eastAsia="en-US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2.2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2.3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2.4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 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лет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Блок индикации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b/>
          <w:bCs/>
          <w:i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3.25 Требования к продукции</w:t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25 Таблицы 1.1):</w:t>
      </w:r>
      <w:r>
        <w:rPr>
          <w:color w:val="000000" w:themeColor="text1"/>
          <w:sz w:val="24"/>
          <w:szCs w:val="24"/>
        </w:rPr>
        <w:t xml:space="preserve"> Плата управления блока </w:t>
      </w:r>
      <w:r>
        <w:rPr>
          <w:bCs/>
          <w:color w:val="000000" w:themeColor="text1"/>
          <w:sz w:val="24"/>
          <w:szCs w:val="24"/>
          <w:u w:val="single"/>
        </w:rPr>
        <w:t>Д253 ЭКРА. 301411.213</w:t>
      </w:r>
    </w:p>
    <w:p>
      <w:pPr>
        <w:pStyle w:val="Normal"/>
        <w:jc w:val="both"/>
        <w:rPr/>
      </w:pPr>
      <w:r>
        <w:rPr>
          <w:bCs/>
          <w:color w:val="000000" w:themeColor="text1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 w:themeColor="text1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заказчиком.</w:t>
      </w:r>
    </w:p>
    <w:tbl>
      <w:tblPr>
        <w:tblW w:w="15877" w:type="dxa"/>
        <w:jc w:val="left"/>
        <w:tblInd w:w="-34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938"/>
        <w:gridCol w:w="25"/>
        <w:gridCol w:w="2320"/>
        <w:gridCol w:w="57"/>
        <w:gridCol w:w="7170"/>
        <w:gridCol w:w="3684"/>
        <w:gridCol w:w="1683"/>
      </w:tblGrid>
      <w:tr>
        <w:trPr/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7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Требование заказчика</w:t>
            </w:r>
          </w:p>
        </w:tc>
        <w:tc>
          <w:tcPr>
            <w:tcW w:w="5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6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71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6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7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1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6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1.</w:t>
            </w:r>
          </w:p>
        </w:tc>
        <w:tc>
          <w:tcPr>
            <w:tcW w:w="954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6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1.1</w:t>
            </w:r>
          </w:p>
        </w:tc>
        <w:tc>
          <w:tcPr>
            <w:tcW w:w="23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Совместимость с интерфейсными блоками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Д25345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</w:t>
            </w:r>
          </w:p>
        </w:tc>
        <w:tc>
          <w:tcPr>
            <w:tcW w:w="957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2.1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Место поставки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szCs w:val="24"/>
                <w:lang w:eastAsia="en-US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Согласие с требованием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2.2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любым крытым видом транспорта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2.3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/>
            </w:pPr>
            <w:r>
              <w:rPr>
                <w:rFonts w:eastAsia="Calibri"/>
                <w:color w:val="000000" w:themeColor="text1"/>
                <w:lang w:eastAsia="x-none"/>
              </w:rPr>
              <w:t>2.4</w:t>
            </w:r>
          </w:p>
        </w:tc>
        <w:tc>
          <w:tcPr>
            <w:tcW w:w="23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722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 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 w:themeColor="text1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 w:themeColor="text1"/>
                <w:lang w:val="ru-RU" w:eastAsia="ru-RU"/>
              </w:rPr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лет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12 месяцев с даты подписания Сторонами накладной ТОРГ-12(УПД)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Блок индикации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7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3.26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26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Радоповторитель интерфейсов С2000-РПИ ИСП.02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00"/>
        <w:gridCol w:w="1798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Радиоповторитель интерфейсов пожарный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рабочих частот, МГц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866.0…868.0; 868.0…868.2; 868.7…869.2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рабочих частотных каналов не менее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Излучаемая мощность не менее, мВт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Дальность связи в прямой видимости не менее, м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для подключения антенны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RP-SMA (famale)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Внешние интерфейсы RS-485, шт.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входов питания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напряжений питания,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 … 28.4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PCB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-30...+50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Радоповторитель интерфейсов С2000-РПИ ИСП.02;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Антенна 868 МГц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3.27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27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Модуль порошкового пожаротушения с комбинированным запуском БУРАН-2,5(2С)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00"/>
        <w:gridCol w:w="1798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порошкового пожаротушения пожаров класса А, В, С и электрооборудования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огнетушащего порошка типа АБС, кг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1,95 +/- 0,05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Огнетушащая способность при тушении очагов пожаров класса А до,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Огнетушащая способность при тушении очагов пожаров класса В до,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Пороговое значение температуры в режиме самозапуска до,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180+/- 10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пусковой ток не более,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Длительность электроимпульса не менее, с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срабатывания в режиме электрозапуска не более, с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действия не более, с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 безотказного срабатывания не  менее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монтажа на стену, потолок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-50...+50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порошкового пожаротушения с комбинированным запуском БУРАН-2,5(2С) с кронштейном крепления — 1 шт;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крепежный штифт — 2 шт.;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крепежная планка — 1 шт.;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и руководство по эксплуатации (на каждый модуль)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3.28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28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Конрольно-пусковой блок С2000-КПБ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00"/>
        <w:gridCol w:w="1798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Контрольно-пусковой блок для работы в составе систем охранно-пожарной сигнализации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 не менее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Коммутируемый ток не менее, 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Коммутируемый ток одного выхода, 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 … 2,5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контроля исправности цепей не более,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шлейфов сигнализации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 проводов (шлейфов сигнализации) без учета выносного элемента не более, Ом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Коммутируемое напряжение не менее,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питания,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12/24 В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для подключения антенны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RP-SMA (famale)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Внешние интерфейсы RS-485, шт.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входов питания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напряжений питания, В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 … 28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монтажа на стену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-30...+55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Радоповторитель интерфейсов С2000-РПИ ИСП.02;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Антенна 868 МГц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3.29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29 Таблицы 1.1):</w:t>
      </w:r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Оповещатель пожарный световой с встроенным звуковым оповещением Молния-24-3 «Порошок уходи»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00"/>
        <w:gridCol w:w="1798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Оповещатель пожарный световой с встроенным звуковым оповещением  «Порошок уходи»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звукового давления встроенной сирены, дБ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питания постоянного тока, В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потребления максимальный,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монтажа на стену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-30...+55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Степерь защиты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IP52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Оповещатель пожарный световой с встроенным звуковым оповещением Молния-24-3  «Порошок уходи»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3.30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Наименование продукции (позиция № 30 Таблицы 1.1):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Сирена уличная Марс 24-КУ (Оповещатель охранно-пожарный комбинированный Марс2</w:t>
      </w:r>
      <w:r>
        <w:rPr>
          <w:color w:val="000000"/>
          <w:sz w:val="24"/>
          <w:szCs w:val="24"/>
          <w:shd w:fill="auto" w:val="clear"/>
        </w:rPr>
        <w:t>4-</w:t>
      </w:r>
      <w:r>
        <w:rPr>
          <w:color w:val="000000"/>
          <w:sz w:val="24"/>
          <w:szCs w:val="24"/>
        </w:rPr>
        <w:t>КУ)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312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41"/>
        <w:gridCol w:w="3366"/>
        <w:gridCol w:w="5907"/>
        <w:gridCol w:w="3600"/>
        <w:gridCol w:w="1798"/>
      </w:tblGrid>
      <w:tr>
        <w:trPr/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Сирена уличная охранно-пожарной сигнализации комбинировання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свечения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звукового давления встроенной сирены, дБ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питания постоянного тока, В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потребления максимальный в режиме «свет»,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потребления максимальный в режиме «звук», мА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монтажа на стену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-30...+55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Степерь защиты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IP52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Сирена уличная Марс 24-КУ (Оповещатель охранно-пожарный комбинированный Марс24-КУ)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  <w:t>Таблица 3.31 Требования к продукции</w:t>
      </w:r>
    </w:p>
    <w:p>
      <w:pPr>
        <w:pStyle w:val="Normal"/>
        <w:rPr/>
      </w:pPr>
      <w:r>
        <w:rPr>
          <w:b/>
          <w:bCs/>
          <w:i/>
          <w:iCs/>
          <w:color w:val="000000" w:themeColor="text1"/>
          <w:sz w:val="24"/>
          <w:szCs w:val="24"/>
        </w:rPr>
        <w:t>Наименова</w:t>
      </w:r>
      <w:r>
        <w:rPr>
          <w:b/>
          <w:bCs/>
          <w:i/>
          <w:iCs/>
          <w:color w:val="000000" w:themeColor="text1"/>
          <w:sz w:val="24"/>
          <w:szCs w:val="24"/>
          <w:shd w:fill="auto" w:val="clear"/>
        </w:rPr>
        <w:t>ние п</w:t>
      </w:r>
      <w:r>
        <w:rPr>
          <w:b/>
          <w:bCs/>
          <w:i/>
          <w:iCs/>
          <w:color w:val="000000" w:themeColor="text1"/>
          <w:sz w:val="24"/>
          <w:szCs w:val="24"/>
        </w:rPr>
        <w:t>родукции (позиция № 31 Таблицы 1.1):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Реле времени (таймер) 240В AC/DC 2CO 12А 0.05с…10дн. или эквивалент</w:t>
      </w:r>
      <w:r>
        <w:rPr>
          <w:color w:val="000000"/>
          <w:sz w:val="24"/>
          <w:szCs w:val="24"/>
          <w:vertAlign w:val="superscript"/>
        </w:rPr>
        <w:t>1</w:t>
      </w:r>
    </w:p>
    <w:tbl>
      <w:tblPr>
        <w:tblW w:w="15813" w:type="dxa"/>
        <w:jc w:val="left"/>
        <w:tblInd w:w="2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91"/>
        <w:gridCol w:w="3496"/>
        <w:gridCol w:w="5951"/>
        <w:gridCol w:w="3602"/>
        <w:gridCol w:w="2173"/>
      </w:tblGrid>
      <w:tr>
        <w:trPr/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показатели), показатели эквивалентности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Реле времени мультифункциональное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 коммутируемый ток не менее, А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питания цепи управления переменного тока при 50 Гц, В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питания цепи управления перемен. тока АС при 50 Гц, В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питания цепи управления постоянного тока, В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питания цепи управления постоянного тока DC с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времени, с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0...10 дней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Шаг дискретности по времени, с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выходов с задержкой, переключающий контакт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задержки при отключении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задержки при включении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мигания начинается с импульса, фиксированное время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формирования импульсов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PCB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Рабочий диапазон температур не менее, градусов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-25...+50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Продукция должна быть доставлена Поставщиком по адресу: 614030, г. Пермь, Камская ГЭС, ул. Соликамская, 329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упаковка оборудования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должна осуществляется в упаковке предприятия – изготовителя, исключающей возможность повреждения оборудования при его транспортировке.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дате и времени поставки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Сообщается в письменном виде ответственному сотруднику Покупателя не менее чем за десять дней до предполагаемого срока поставки товара.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</w:t>
            </w:r>
          </w:p>
        </w:tc>
        <w:tc>
          <w:tcPr>
            <w:tcW w:w="5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Производится в рабочее время с 8:00 до 15:00 часов местного времени;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Гос. номер транспорта, ФИО сотрудников Поставщика, непосредственно осуществляющих доставку оборудования, сообщаются в письменном виде ответственному сотруднику Покупателя не позднее 15:00 часов дня, предшествующего дню поставки.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 до списания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 лет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поставщика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гарантии на все поставленные запасные части и комплектующие должен составлять не менее 24 месяцев с даты подписания Сторонами накладной ТОРГ-12(УПД)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 КАМ1524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поставки оборудования не должна превышать 18 месяцев от даты выпуска (изготовления)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оборудования должна включать затраты на транспортировку, погрузочно – разгрузочные работы.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5813" w:type="dxa"/>
            <w:gridSpan w:val="5"/>
            <w:tcBorders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2.2.1.</w:t>
            </w:r>
          </w:p>
          <w:p>
            <w:pPr>
              <w:pStyle w:val="Normal"/>
              <w:widowControl w:val="false"/>
              <w:rPr/>
            </w:pPr>
            <w:r>
              <w:rPr>
                <w:b w:val="false"/>
                <w:bCs w:val="false"/>
                <w:sz w:val="24"/>
                <w:szCs w:val="24"/>
              </w:rPr>
              <w:t xml:space="preserve">¹ В позициях предусматривающих эквивалент, указанные в настоящем ТТ ссылки на ТУ, марку (тип) продукции носят описательный, а не обязательный характер. </w:t>
            </w:r>
            <w:r>
              <w:rPr>
                <w:b/>
                <w:bCs/>
                <w:sz w:val="24"/>
                <w:szCs w:val="24"/>
              </w:rPr>
              <w:t>В случае, если Участником предлагается эквивалентная продукция требуемой Заказчику продукции или ее составных частей, участник указывает конкретные наименования (тип/марку) продукции в Приложении 1 к Письму о подаче оферты «Коммерческое предложение» без указания «или эквивалент».</w:t>
            </w:r>
          </w:p>
          <w:p>
            <w:pPr>
              <w:pStyle w:val="Normal"/>
              <w:widowControl w:val="false"/>
              <w:ind w:firstLine="720"/>
              <w:rPr>
                <w:rStyle w:val="Style13"/>
                <w:b w:val="false"/>
                <w:iCs/>
              </w:rPr>
            </w:pPr>
            <w:bookmarkStart w:id="23" w:name="_GoBack_Копия_1"/>
            <w:bookmarkEnd w:id="23"/>
            <w:r>
              <w:rPr>
                <w:rFonts w:eastAsia="Calibri"/>
              </w:rPr>
      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</w:t>
            </w:r>
            <w:bookmarkStart w:id="24" w:name="_Toc754465813_Копия_1"/>
            <w:bookmarkStart w:id="25" w:name="_Toc7544658111_Копия_1"/>
            <w:bookmarkEnd w:id="24"/>
            <w:bookmarkEnd w:id="25"/>
            <w:r>
              <w:rPr>
                <w:rFonts w:eastAsia="Calibri"/>
              </w:rPr>
              <w:t>ам эксплуатации.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113" w:hanging="0"/>
              <w:jc w:val="left"/>
              <w:rPr/>
            </w:pPr>
            <w:r>
              <w:rPr>
                <w:sz w:val="24"/>
                <w:szCs w:val="24"/>
              </w:rPr>
              <w:t>2.2.2.</w:t>
            </w:r>
            <w:bookmarkStart w:id="26" w:name="_Toc191389017"/>
            <w:bookmarkStart w:id="27" w:name="_Hlk140571699"/>
            <w:bookmarkStart w:id="28" w:name="_Toc215660633"/>
            <w:bookmarkStart w:id="29" w:name="_Toc217307302"/>
            <w:r>
              <w:rPr>
                <w:sz w:val="24"/>
                <w:szCs w:val="24"/>
              </w:rPr>
              <w:t xml:space="preserve"> </w:t>
            </w:r>
            <w:bookmarkEnd w:id="26"/>
            <w:bookmarkEnd w:id="27"/>
            <w:bookmarkEnd w:id="28"/>
            <w:bookmarkEnd w:id="29"/>
            <w:r>
              <w:rPr>
                <w:iCs/>
                <w:sz w:val="24"/>
                <w:szCs w:val="24"/>
                <w:shd w:fill="auto" w:val="clear"/>
              </w:rPr>
      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113" w:hanging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iCs/>
                <w:sz w:val="24"/>
                <w:szCs w:val="24"/>
                <w:shd w:fill="auto" w:val="clear"/>
              </w:rPr>
              <w:t>1. Техническое предложение, подготовленное в соответствии с настоящими ТТ по форме, представленной в Документации о закупке.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0" w:right="113" w:hanging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 Коммерческое предложение (Приложение 1 к Письму о подаче оферты) по форме и инструкции, представленной в Документации о закупке.</w:t>
            </w:r>
          </w:p>
          <w:p>
            <w:pPr>
              <w:pStyle w:val="Normal"/>
              <w:widowControl w:val="false"/>
              <w:rPr>
                <w:rStyle w:val="Style13"/>
                <w:rFonts w:eastAsia="Calibri"/>
                <w:b w:val="false"/>
                <w:iCs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Calibri"/>
                <w:b w:val="false"/>
                <w:iCs/>
                <w:sz w:val="24"/>
                <w:szCs w:val="24"/>
                <w:shd w:fill="auto" w:val="clear"/>
              </w:rPr>
            </w:r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2"/>
          <w:footerReference w:type="first" r:id="rId13"/>
          <w:type w:val="nextPage"/>
          <w:pgSz w:orient="landscape" w:w="16838" w:h="11906"/>
          <w:pgMar w:left="567" w:right="567" w:gutter="0" w:header="0" w:top="1418" w:footer="850" w:bottom="1366"/>
          <w:pgNumType w:start="7" w:fmt="decimal"/>
          <w:formProt w:val="false"/>
          <w:textDirection w:val="lrTb"/>
          <w:docGrid w:type="default" w:linePitch="100" w:charSpace="32768"/>
        </w:sectPr>
      </w:pPr>
    </w:p>
    <w:p>
      <w:pPr>
        <w:pStyle w:val="Heading1"/>
        <w:keepLines/>
        <w:spacing w:before="0" w:after="120"/>
        <w:ind w:left="357" w:hanging="0"/>
        <w:jc w:val="center"/>
        <w:rPr>
          <w:bCs/>
          <w:sz w:val="24"/>
          <w:szCs w:val="24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bookmarkStart w:id="30" w:name="_Toc75446583"/>
      <w:bookmarkStart w:id="31" w:name="_Toc53393312"/>
      <w:r>
        <w:rPr>
          <w:sz w:val="28"/>
          <w:szCs w:val="28"/>
        </w:rPr>
        <w:t>Требования к документации по ценообразованию</w:t>
      </w:r>
      <w:bookmarkEnd w:id="31"/>
      <w:r>
        <w:rPr>
          <w:sz w:val="28"/>
          <w:szCs w:val="28"/>
        </w:rPr>
        <w:t xml:space="preserve"> на этапе закупки</w:t>
      </w:r>
      <w:bookmarkEnd w:id="30"/>
    </w:p>
    <w:p>
      <w:pPr>
        <w:pStyle w:val="Normal"/>
        <w:numPr>
          <w:ilvl w:val="1"/>
          <w:numId w:val="4"/>
        </w:numPr>
        <w:spacing w:before="0" w:after="120"/>
        <w:ind w:left="357" w:hanging="0"/>
        <w:jc w:val="both"/>
        <w:rPr>
          <w:i w:val="false"/>
          <w:i w:val="false"/>
          <w:iCs w:val="false"/>
        </w:rPr>
      </w:pPr>
      <w:r>
        <w:rPr>
          <w:bCs/>
          <w:i w:val="false"/>
          <w:iCs w:val="false"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2" w:name="_Hlk88325985"/>
      <w:r>
        <w:rPr>
          <w:bCs/>
          <w:i w:val="false"/>
          <w:iCs w:val="false"/>
          <w:sz w:val="24"/>
          <w:szCs w:val="24"/>
          <w:lang w:eastAsia="x-none"/>
        </w:rPr>
        <w:t>(с учетом прилагаемой к ней инструкции по заполнению)</w:t>
      </w:r>
      <w:bookmarkEnd w:id="32"/>
      <w:r>
        <w:rPr>
          <w:bCs/>
          <w:i w:val="false"/>
          <w:iCs w:val="false"/>
          <w:sz w:val="24"/>
          <w:szCs w:val="24"/>
          <w:lang w:eastAsia="x-none"/>
        </w:rPr>
        <w:t>, приведенной в Документации о закупке.</w:t>
      </w:r>
    </w:p>
    <w:p>
      <w:pPr>
        <w:pStyle w:val="Normal"/>
        <w:spacing w:before="0" w:after="120"/>
        <w:ind w:left="357" w:hanging="0"/>
        <w:jc w:val="both"/>
        <w:rPr>
          <w:bCs/>
          <w:i w:val="false"/>
          <w:i w:val="false"/>
          <w:iCs w:val="false"/>
          <w:sz w:val="24"/>
          <w:szCs w:val="24"/>
        </w:rPr>
      </w:pPr>
      <w:r>
        <w:rPr>
          <w:bCs/>
          <w:i w:val="false"/>
          <w:iCs w:val="false"/>
          <w:sz w:val="24"/>
          <w:szCs w:val="24"/>
        </w:rPr>
      </w:r>
    </w:p>
    <w:p>
      <w:pPr>
        <w:pStyle w:val="Normal"/>
        <w:spacing w:before="0" w:after="120"/>
        <w:ind w:left="357" w:hanging="0"/>
        <w:jc w:val="both"/>
        <w:rPr>
          <w:bCs/>
          <w:i w:val="false"/>
          <w:i w:val="false"/>
          <w:iCs w:val="false"/>
          <w:sz w:val="24"/>
          <w:szCs w:val="24"/>
        </w:rPr>
      </w:pPr>
      <w:r>
        <w:rPr>
          <w:bCs/>
          <w:i w:val="false"/>
          <w:iCs w:val="false"/>
          <w:sz w:val="24"/>
          <w:szCs w:val="24"/>
        </w:rPr>
      </w:r>
    </w:p>
    <w:p>
      <w:pPr>
        <w:pStyle w:val="Normal"/>
        <w:spacing w:before="0" w:after="120"/>
        <w:ind w:left="357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ind w:left="357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ind w:left="357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ind w:left="357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ind w:left="357" w:hanging="0"/>
        <w:jc w:val="both"/>
        <w:rPr>
          <w:bCs/>
          <w:sz w:val="24"/>
          <w:szCs w:val="24"/>
        </w:rPr>
      </w:pPr>
      <w:r>
        <w:rPr/>
      </w:r>
      <w:bookmarkStart w:id="33" w:name="_GoBack"/>
      <w:bookmarkStart w:id="34" w:name="_GoBack"/>
      <w:bookmarkEnd w:id="34"/>
    </w:p>
    <w:sectPr>
      <w:headerReference w:type="default" r:id="rId14"/>
      <w:headerReference w:type="first" r:id="rId15"/>
      <w:footerReference w:type="default" r:id="rId16"/>
      <w:footerReference w:type="first" r:id="rId17"/>
      <w:type w:val="nextPage"/>
      <w:pgSz w:w="11906" w:h="16838"/>
      <w:pgMar w:left="1417" w:right="567" w:gutter="0" w:header="0" w:top="550" w:footer="850" w:bottom="1366"/>
      <w:pgNumType w:start="12" w:fmt="decimal"/>
      <w:formProt w:val="false"/>
      <w:textDirection w:val="lrTb"/>
      <w:docGrid w:type="default" w:linePitch="272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sz w:val="24"/>
        <w:szCs w:val="24"/>
        <w:color w:val="000000"/>
      </w:rPr>
      <w:instrText xml:space="preserve"> PAGE </w:instrText>
    </w:r>
    <w:r>
      <w:rPr>
        <w:sz w:val="24"/>
        <w:szCs w:val="24"/>
        <w:color w:val="000000"/>
      </w:rPr>
      <w:fldChar w:fldCharType="separate"/>
    </w:r>
    <w:r>
      <w:rPr>
        <w:sz w:val="24"/>
        <w:szCs w:val="24"/>
        <w:color w:val="000000"/>
      </w:rPr>
      <w:t>2</w:t>
    </w:r>
    <w:r>
      <w:rPr>
        <w:sz w:val="24"/>
        <w:szCs w:val="24"/>
        <w:color w:val="00000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sz w:val="24"/>
        <w:szCs w:val="24"/>
        <w:color w:val="000000"/>
      </w:rPr>
      <w:instrText xml:space="preserve"> PAGE </w:instrText>
    </w:r>
    <w:r>
      <w:rPr>
        <w:sz w:val="24"/>
        <w:szCs w:val="24"/>
        <w:color w:val="000000"/>
      </w:rPr>
      <w:fldChar w:fldCharType="separate"/>
    </w:r>
    <w:r>
      <w:rPr>
        <w:sz w:val="24"/>
        <w:szCs w:val="24"/>
        <w:color w:val="000000"/>
      </w:rPr>
      <w:t>3</w:t>
    </w:r>
    <w:r>
      <w:rPr>
        <w:sz w:val="24"/>
        <w:szCs w:val="24"/>
        <w:color w:val="00000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6629963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62</w:t>
        </w:r>
        <w:r>
          <w:rPr/>
          <w:fldChar w:fldCharType="end"/>
        </w:r>
      </w:p>
    </w:sdtContent>
  </w:sdt>
  <w:p>
    <w:pPr>
      <w:pStyle w:val="Footer"/>
      <w:jc w:val="center"/>
      <w:rPr>
        <w:sz w:val="24"/>
        <w:szCs w:val="24"/>
      </w:rPr>
    </w:pPr>
    <w:r>
      <w:rPr>
        <w:sz w:val="24"/>
        <w:szCs w:val="24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>104</w: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12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5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7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9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01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3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5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72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writeProtection w:cryptProviderType="rsaAES" w:cryptAlgorithmClass="hash" w:cryptAlgorithmType="typeAny" w:cryptAlgorithmSid="14" w:cryptSpinCount="100000" w:hash="OjV2Oax7efBo03XiqAhBrNYW0byVpy/7VrYiAj+IMIho6UmXyUFA0VyEbihkkgVo29YDXg4i1iiS2zx7HfiWaQ==" w:salt="mS2y2jJbytrygnaIeWL/7A=="/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outlineLvl w:val="0"/>
    </w:pPr>
    <w:rPr>
      <w:b/>
    </w:rPr>
  </w:style>
  <w:style w:type="paragraph" w:styleId="Heading2">
    <w:name w:val="Heading 2"/>
    <w:basedOn w:val="Normal"/>
    <w:link w:val="2"/>
    <w:uiPriority w:val="9"/>
    <w:unhideWhenUsed/>
    <w:qFormat/>
    <w:pPr>
      <w:spacing w:before="280" w:after="2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Heading3"/>
    <w:next w:val="Normal"/>
    <w:uiPriority w:val="9"/>
    <w:unhideWhenUsed/>
    <w:qFormat/>
    <w:pPr>
      <w:outlineLvl w:val="3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uiPriority w:val="99"/>
    <w:unhideWhenUsed/>
    <w:rsid w:val="00c34b10"/>
    <w:rPr>
      <w:color w:val="0563C1" w:themeColor="hyperlink"/>
      <w:u w:val="single"/>
    </w:rPr>
  </w:style>
  <w:style w:type="character" w:styleId="Style5" w:customStyle="1">
    <w:name w:val="Текст выноски Знак"/>
    <w:link w:val="BalloonText"/>
    <w:qFormat/>
    <w:rPr>
      <w:rFonts w:ascii="Tahoma" w:hAnsi="Tahoma" w:cs="Tahoma"/>
      <w:sz w:val="16"/>
      <w:szCs w:val="16"/>
    </w:rPr>
  </w:style>
  <w:style w:type="character" w:styleId="4" w:customStyle="1">
    <w:name w:val="Стиль4 Знак"/>
    <w:link w:val="41"/>
    <w:qFormat/>
    <w:rPr>
      <w:bCs/>
      <w:color w:val="000000"/>
      <w:sz w:val="22"/>
      <w:szCs w:val="22"/>
      <w:shd w:fill="FFFFFF" w:val="clear"/>
    </w:rPr>
  </w:style>
  <w:style w:type="character" w:styleId="Style6" w:customStyle="1">
    <w:name w:val="Основной текст Знак"/>
    <w:qFormat/>
    <w:rPr>
      <w:sz w:val="22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7" w:customStyle="1">
    <w:name w:val="Текст примечания Знак"/>
    <w:basedOn w:val="DefaultParagraphFont"/>
    <w:link w:val="Annotationtext"/>
    <w:qFormat/>
    <w:rPr/>
  </w:style>
  <w:style w:type="character" w:styleId="Style8" w:customStyle="1">
    <w:name w:val="Тема примечания Знак"/>
    <w:link w:val="Annotationsubject"/>
    <w:qFormat/>
    <w:rPr>
      <w:b/>
      <w:bCs/>
    </w:rPr>
  </w:style>
  <w:style w:type="character" w:styleId="Style9" w:customStyle="1">
    <w:name w:val="Верхний колонтитул Знак"/>
    <w:basedOn w:val="DefaultParagraphFont"/>
    <w:qFormat/>
    <w:rPr/>
  </w:style>
  <w:style w:type="character" w:styleId="Apple-converted-space" w:customStyle="1">
    <w:name w:val="apple-converted-space"/>
    <w:qFormat/>
    <w:rPr/>
  </w:style>
  <w:style w:type="character" w:styleId="2" w:customStyle="1">
    <w:name w:val="Заголовок 2 Знак"/>
    <w:qFormat/>
    <w:rPr>
      <w:b/>
      <w:bCs/>
      <w:sz w:val="36"/>
      <w:szCs w:val="36"/>
    </w:rPr>
  </w:style>
  <w:style w:type="character" w:styleId="Strong">
    <w:name w:val="Strong"/>
    <w:qFormat/>
    <w:rPr>
      <w:b/>
      <w:bCs/>
    </w:rPr>
  </w:style>
  <w:style w:type="character" w:styleId="3" w:customStyle="1">
    <w:name w:val="Заголовок 3 Знак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5617ab"/>
    <w:rPr>
      <w:color w:val="954F72" w:themeColor="followedHyperlink"/>
      <w:u w:val="single"/>
    </w:rPr>
  </w:style>
  <w:style w:type="character" w:styleId="Style10" w:customStyle="1">
    <w:name w:val="Текст сноски Знак"/>
    <w:basedOn w:val="DefaultParagraphFont"/>
    <w:qFormat/>
    <w:rPr/>
  </w:style>
  <w:style w:type="character" w:styleId="Style11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1" w:customStyle="1">
    <w:name w:val="Заголовок 1 Знак"/>
    <w:basedOn w:val="DefaultParagraphFont"/>
    <w:qFormat/>
    <w:rPr>
      <w:b/>
    </w:rPr>
  </w:style>
  <w:style w:type="character" w:styleId="Style12" w:customStyle="1">
    <w:name w:val="Нижний колонтитул Знак"/>
    <w:basedOn w:val="DefaultParagraphFont"/>
    <w:uiPriority w:val="99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Style13" w:customStyle="1">
    <w:name w:val="комментарий"/>
    <w:qFormat/>
    <w:rPr>
      <w:b/>
      <w:i/>
      <w:shd w:fill="FFFF99" w:val="clear"/>
    </w:rPr>
  </w:style>
  <w:style w:type="character" w:styleId="11" w:customStyle="1">
    <w:name w:val="Номер строки1"/>
    <w:qFormat/>
    <w:rPr/>
  </w:style>
  <w:style w:type="character" w:styleId="Style14" w:customStyle="1">
    <w:name w:val="Символ нумерации"/>
    <w:qFormat/>
    <w:rPr/>
  </w:style>
  <w:style w:type="character" w:styleId="Style15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jc w:val="both"/>
    </w:pPr>
    <w:rPr>
      <w:sz w:val="22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12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12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12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12"/>
    <w:qFormat/>
    <w:pPr/>
    <w:rPr/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NormalWeb">
    <w:name w:val="Normal (Web)"/>
    <w:basedOn w:val="Normal"/>
    <w:qFormat/>
    <w:pPr>
      <w:spacing w:before="280" w:after="280"/>
      <w:ind w:right="150" w:hanging="0"/>
    </w:pPr>
    <w:rPr>
      <w:rFonts w:ascii="Tahoma" w:hAnsi="Tahoma" w:cs="Tahoma"/>
      <w:color w:val="000000"/>
    </w:rPr>
  </w:style>
  <w:style w:type="paragraph" w:styleId="Style18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12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OC1">
    <w:name w:val="TOC 1"/>
    <w:basedOn w:val="Normal"/>
    <w:next w:val="Normal"/>
    <w:autoRedefine/>
    <w:pPr>
      <w:tabs>
        <w:tab w:val="clear" w:pos="708"/>
        <w:tab w:val="right" w:pos="10348" w:leader="dot"/>
      </w:tabs>
    </w:pPr>
    <w:rPr>
      <w:bCs/>
      <w:sz w:val="24"/>
      <w:szCs w:val="24"/>
    </w:rPr>
  </w:style>
  <w:style w:type="paragraph" w:styleId="BalloonText">
    <w:name w:val="Balloon Text"/>
    <w:basedOn w:val="Normal"/>
    <w:link w:val="Style5"/>
    <w:qFormat/>
    <w:pPr/>
    <w:rPr>
      <w:rFonts w:ascii="Tahoma" w:hAnsi="Tahoma" w:cs="Tahoma"/>
      <w:sz w:val="16"/>
      <w:szCs w:val="16"/>
    </w:rPr>
  </w:style>
  <w:style w:type="paragraph" w:styleId="13" w:customStyle="1">
    <w:name w:val="Стиль1"/>
    <w:basedOn w:val="Normal"/>
    <w:qFormat/>
    <w:pPr>
      <w:numPr>
        <w:ilvl w:val="0"/>
        <w:numId w:val="1"/>
      </w:numPr>
      <w:shd w:val="clear" w:color="auto" w:fill="FFFFFF"/>
      <w:tabs>
        <w:tab w:val="clear" w:pos="708"/>
        <w:tab w:val="left" w:pos="426" w:leader="none"/>
      </w:tabs>
      <w:spacing w:before="120" w:after="60"/>
      <w:ind w:left="0" w:hanging="0"/>
      <w:jc w:val="center"/>
    </w:pPr>
    <w:rPr>
      <w:b/>
      <w:bCs/>
      <w:color w:val="000000"/>
      <w:sz w:val="22"/>
      <w:szCs w:val="22"/>
    </w:rPr>
  </w:style>
  <w:style w:type="paragraph" w:styleId="41" w:customStyle="1">
    <w:name w:val="Стиль4"/>
    <w:basedOn w:val="13"/>
    <w:link w:val="4"/>
    <w:qFormat/>
    <w:pPr>
      <w:tabs>
        <w:tab w:val="clear" w:pos="426"/>
        <w:tab w:val="left" w:pos="709" w:leader="none"/>
      </w:tabs>
      <w:spacing w:before="0" w:after="0"/>
      <w:jc w:val="both"/>
    </w:pPr>
    <w:rPr>
      <w:b w:val="false"/>
    </w:rPr>
  </w:style>
  <w:style w:type="paragraph" w:styleId="5" w:customStyle="1">
    <w:name w:val="Стиль5"/>
    <w:basedOn w:val="41"/>
    <w:qFormat/>
    <w:pPr>
      <w:tabs>
        <w:tab w:val="clear" w:pos="709"/>
        <w:tab w:val="left" w:pos="360" w:leader="none"/>
        <w:tab w:val="left" w:pos="851" w:leader="none"/>
        <w:tab w:val="left" w:pos="1800" w:leader="none"/>
      </w:tabs>
      <w:ind w:left="142" w:hanging="0"/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Annotationtext">
    <w:name w:val="annotation text"/>
    <w:basedOn w:val="Normal"/>
    <w:link w:val="Style7"/>
    <w:qFormat/>
    <w:pPr/>
    <w:rPr/>
  </w:style>
  <w:style w:type="paragraph" w:styleId="Annotationsubject">
    <w:name w:val="annotation subject"/>
    <w:basedOn w:val="Annotationtext"/>
    <w:next w:val="Annotationtext"/>
    <w:link w:val="Style8"/>
    <w:qFormat/>
    <w:pPr/>
    <w:rPr>
      <w:b/>
      <w:bCs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er">
    <w:name w:val="Header"/>
    <w:basedOn w:val="Normal"/>
    <w:link w:val="Style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qFormat/>
    <w:pPr>
      <w:keepLines/>
      <w:spacing w:lineRule="auto" w:line="276" w:before="480" w:after="0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TOC2">
    <w:name w:val="TOC 2"/>
    <w:basedOn w:val="Normal"/>
    <w:next w:val="Normal"/>
    <w:autoRedefine/>
    <w:pPr>
      <w:tabs>
        <w:tab w:val="clear" w:pos="708"/>
        <w:tab w:val="right" w:pos="10348" w:leader="dot"/>
      </w:tabs>
      <w:ind w:left="216" w:hanging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pPr>
      <w:spacing w:lineRule="auto" w:line="276" w:before="0" w:after="100"/>
      <w:ind w:left="440" w:hanging="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Style10"/>
    <w:pPr/>
    <w:rPr/>
  </w:style>
  <w:style w:type="paragraph" w:styleId="Style19" w:customStyle="1">
    <w:name w:val="Содержимое врезки"/>
    <w:basedOn w:val="Normal"/>
    <w:qFormat/>
    <w:pPr/>
    <w:rPr/>
  </w:style>
  <w:style w:type="paragraph" w:styleId="Style2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Style23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EndnoteText">
    <w:name w:val="Endnote Text"/>
    <w:basedOn w:val="Normal"/>
    <w:pPr>
      <w:suppressLineNumbers/>
      <w:ind w:left="340" w:hanging="340"/>
    </w:pPr>
    <w:rPr/>
  </w:style>
  <w:style w:type="paragraph" w:styleId="Style24" w:customStyle="1">
    <w:name w:val="Содержимое списка"/>
    <w:basedOn w:val="Normal"/>
    <w:qFormat/>
    <w:pPr>
      <w:ind w:left="567" w:hanging="0"/>
    </w:pPr>
    <w:rPr/>
  </w:style>
  <w:style w:type="paragraph" w:styleId="Style25" w:customStyle="1">
    <w:name w:val="Заголовок списка"/>
    <w:basedOn w:val="Normal"/>
    <w:next w:val="Style24"/>
    <w:qFormat/>
    <w:pPr/>
    <w:rPr/>
  </w:style>
  <w:style w:type="paragraph" w:styleId="Default" w:customStyle="1">
    <w:name w:val="Default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eader" Target="head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header" Target="header6.xml"/><Relationship Id="rId15" Type="http://schemas.openxmlformats.org/officeDocument/2006/relationships/header" Target="header7.xml"/><Relationship Id="rId16" Type="http://schemas.openxmlformats.org/officeDocument/2006/relationships/footer" Target="footer8.xml"/><Relationship Id="rId17" Type="http://schemas.openxmlformats.org/officeDocument/2006/relationships/footer" Target="footer9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7945</TotalTime>
  <Application>AlterOffice/3.4.0.9$Linux_X86_64 LibreOffice_project/b8daf9e823b1a5463a2f48435ddc2e8696e7d4fc</Application>
  <AppVersion>15.0000</AppVersion>
  <Pages>86</Pages>
  <Words>14671</Words>
  <Characters>97206</Characters>
  <CharactersWithSpaces>107870</CharactersWithSpaces>
  <Paragraphs>4144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2025-02-18T10:10:00Z</dcterms:created>
  <dc:creator>zaborovtsevan</dc:creator>
  <dc:description/>
  <dc:language>ru-RU</dc:language>
  <cp:lastModifiedBy>shvalyukee@corp.gidroogk.com</cp:lastModifiedBy>
  <cp:lastPrinted>2026-05-28T14:48:00Z</cp:lastPrinted>
  <dcterms:modified xsi:type="dcterms:W3CDTF">2026-06-18T14:40:39Z</dcterms:modified>
  <cp:revision>133</cp:revision>
  <dc:subject/>
  <dc:title>7-ЭКСП-БПД-2016 ТТ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_dlc_DocId">
    <vt:lpwstr>EWZZHUPVRMST-1972618624-17000</vt:lpwstr>
  </property>
  <property fmtid="{D5CDD505-2E9C-101B-9397-08002B2CF9AE}" pid="4" name="_dlc_DocIdItemGuid">
    <vt:lpwstr>6104e6fd-6bfe-4a33-abb6-003c79e14552</vt:lpwstr>
  </property>
  <property fmtid="{D5CDD505-2E9C-101B-9397-08002B2CF9AE}" pid="5" name="_dlc_DocIdUrl">
    <vt:lpwstr>http://sr-dc-020/_layouts/15/DocIdRedir.aspx?ID=EWZZHUPVRMST-1972618624-17000, EWZZHUPVRMST-1972618624-17000</vt:lpwstr>
  </property>
  <property fmtid="{D5CDD505-2E9C-101B-9397-08002B2CF9AE}" pid="6" name="_MarkAsFinal">
    <vt:bool>1</vt:bool>
  </property>
</Properties>
</file>